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341</w:t>
      </w:r>
    </w:p>
    <w:p>
      <w:r>
        <w:t>Bundesgericht (BGE), 1996-09-27, DE</w:t>
      </w:r>
    </w:p>
    <w:p>
      <w:r>
        <w:rPr>
          <w:b/>
        </w:rPr>
        <w:t xml:space="preserve">Quelle: </w:t>
      </w:r>
      <w:r>
        <w:t>https://mcp.opencaselaw.ch/entscheid/bge_122 III 341</w:t>
      </w:r>
    </w:p>
    <w:p>
      <w:r>
        <w:t>FR: ATF 122 III 341</w:t>
      </w:r>
    </w:p>
    <w:p>
      <w:r>
        <w:t>IT: DTF 122 III 341</w:t>
      </w:r>
    </w:p>
    <w:p>
      <w:pPr>
        <w:pStyle w:val="Heading2"/>
      </w:pPr>
      <w:r>
        <w:t>Regeste</w:t>
      </w:r>
    </w:p>
    <w:p>
      <w:r>
        <w:t>Regeste Überschuss des von Abtretungsgläubigern erzielten Erlöses (Art. 260 Abs. 2 SchKG). Der Überschuss geht auch dann an das Konkursamt (zu Handen der Masse), wenn das Konkursverfahren in der Zwischenzeit abgeschlossen worden ist.</w:t>
      </w:r>
    </w:p>
    <w:p>
      <w:pPr>
        <w:pStyle w:val="Heading2"/>
      </w:pPr>
      <w:r>
        <w:t>Erwägungen</w:t>
      </w:r>
    </w:p>
    <w:p>
      <w:r>
        <w:rPr>
          <w:b/>
        </w:rPr>
        <w:t>E. 2</w:t>
      </w:r>
    </w:p>
    <w:p>
      <w:r>
        <w:t>In der Sache geht es um die Frage, ob das Konkursamt nach Schluss des Konkursverfahrens noch befugt ist, einen Überschuss aus dem Erlös, der sich nach der Geltendmachung von gemäss Art. 260 SchKG abgetretenen Rechtsansprüchen ergeben hat, zuhanden der Konkursmasse an sich zu ziehen. Das ist klar zu bejahen. Wie das Kantonsgericht St. Gallen unter Hinweis auf Art. 240 SchKG und unter analoger Anwendung von Art. 269 SchKG erklärt hat, ist das Konkursamt auch bei einer Konstellation, wie sie im vorliegenden Fall gegeben ist, zur Behändigung von Vermögenswerten und zur Verteilung des nach Schluss des Konkurses sich ergebenden Erlöses (bzw. eines Überschusses über den Erlös hinaus, der den Abtretungsgläubigern zukommt) befugt. Die Befugnis des Konkursamtes hiezu drängt sich aus praktischen Gründen auf, und sie wird auch - wie die schon von der Vorinstanz zitierte Literatur zeigt (WALDER, SchKG, 12. Auflage Zürich 1990, Ziff. 1 zu Art. 269 SchKG ; WALDER in BlSchK 1981, S. 34; FRITZSCHE/WALDER, Schuldbetreibung und Konkurs nach schweizerischem Recht, BGE 122 III 341 S. 343 Band II, Zürich 1993, § 54 Rz. 16; Kommentar JAEGER, N. 3 zu Art. 269 SchKG (Ziff. b); RALF C. SCHLAEPFER, Abtretung streitiger Rechtsansprüche im Konkurs, Zürcher Diss. 1990, S. 193 und 290) - von der Lehre in keinem Moment in Frage gestellt. Die Gegenargumente der Rekurrenten stossen - unabhängig davon, dass sie sich zum Teil auf allenfalls in unzulässiger Weise vorgebrachte Behauptungen tatsächlicher Natur abstützen - ins Leere. Insbesondere kann keine Rede von der Verletzung von Art. 260 Abs. 2 SchKG sein, sieht doch gerade diese Vorschrift die Ablieferung des Überschusses an die Masse vor. Sodann ist nicht über die Voraussetzungen eines Nachkonkurses zu diskutieren; denn mit einem solchen hat man es im vorliegenden Fall nicht zu tun, vielmehr ist - wie dargelegt - Art. 269 SchKG analog anzuwenden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